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0"/>
          <w:szCs w:val="30"/>
        </w:rPr>
      </w:pPr>
      <w:r>
        <w:rPr>
          <w:rFonts w:hint="eastAsia" w:ascii="仿宋_GB2312" w:eastAsia="仿宋_GB2312"/>
          <w:b/>
          <w:sz w:val="30"/>
          <w:szCs w:val="30"/>
        </w:rPr>
        <w:t>合作协议</w:t>
      </w:r>
      <w:r>
        <w:rPr>
          <w:rFonts w:hint="eastAsia" w:ascii="仿宋_GB2312" w:hAnsi="华文仿宋" w:eastAsia="仿宋_GB2312"/>
          <w:b/>
          <w:bCs/>
          <w:sz w:val="30"/>
          <w:szCs w:val="30"/>
        </w:rPr>
        <w:t>模板（仅供参考）</w:t>
      </w:r>
    </w:p>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本合作协议（“协议”）由以下双方签订：XXX大学，一所在中华人民共和国注册的高</w:t>
      </w:r>
      <w:bookmarkStart w:id="0" w:name="_GoBack"/>
      <w:bookmarkEnd w:id="0"/>
      <w:r>
        <w:rPr>
          <w:rFonts w:hint="eastAsia" w:ascii="仿宋_GB2312" w:hAnsi="华文仿宋" w:eastAsia="仿宋_GB2312" w:cs="Arial Unicode MS"/>
          <w:sz w:val="32"/>
          <w:szCs w:val="32"/>
        </w:rPr>
        <w:t>等院校（以下称“大学”）；以及</w:t>
      </w:r>
      <w:r>
        <w:rPr>
          <w:rFonts w:hint="eastAsia" w:ascii="仿宋_GB2312" w:hAnsi="华文仿宋" w:eastAsia="仿宋_GB2312" w:cs="Arial Unicode MS"/>
          <w:sz w:val="32"/>
          <w:szCs w:val="32"/>
          <w:lang w:eastAsia="zh-CN"/>
        </w:rPr>
        <w:t>成都泰盟软件有限</w:t>
      </w:r>
      <w:r>
        <w:rPr>
          <w:rFonts w:hint="eastAsia" w:ascii="仿宋_GB2312" w:hAnsi="华文仿宋" w:eastAsia="仿宋_GB2312" w:cs="Arial Unicode MS"/>
          <w:sz w:val="32"/>
          <w:szCs w:val="32"/>
        </w:rPr>
        <w:t>公司（以下称“公司”）。本协议将从公司在下面签署的日期起开始生效（“生效日期”）。</w:t>
      </w:r>
    </w:p>
    <w:p>
      <w:pPr>
        <w:pStyle w:val="9"/>
        <w:snapToGrid w:val="0"/>
        <w:spacing w:line="520" w:lineRule="exact"/>
        <w:ind w:right="-288"/>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pStyle w:val="9"/>
        <w:snapToGrid w:val="0"/>
        <w:spacing w:line="520" w:lineRule="exact"/>
        <w:jc w:val="center"/>
        <w:rPr>
          <w:rFonts w:ascii="仿宋_GB2312" w:hAnsi="华文仿宋" w:eastAsia="仿宋_GB2312" w:cs="Arial"/>
          <w:b/>
          <w:bCs/>
          <w:sz w:val="32"/>
          <w:szCs w:val="32"/>
          <w:u w:val="single"/>
        </w:rPr>
      </w:pPr>
      <w:r>
        <w:rPr>
          <w:rFonts w:hint="eastAsia" w:ascii="仿宋_GB2312" w:hAnsi="华文仿宋"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大学情况介绍……</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lang w:eastAsia="zh-CN"/>
        </w:rPr>
        <w:t>成都泰盟软件有限公司是注册于200</w:t>
      </w:r>
      <w:r>
        <w:rPr>
          <w:rFonts w:hint="eastAsia" w:ascii="仿宋_GB2312" w:hAnsi="华文仿宋" w:eastAsia="仿宋_GB2312" w:cs="Arial Unicode MS"/>
          <w:sz w:val="32"/>
          <w:szCs w:val="32"/>
          <w:lang w:val="en-US" w:eastAsia="zh-CN"/>
        </w:rPr>
        <w:t>4</w:t>
      </w:r>
      <w:r>
        <w:rPr>
          <w:rFonts w:hint="eastAsia" w:ascii="仿宋_GB2312" w:hAnsi="华文仿宋" w:eastAsia="仿宋_GB2312" w:cs="Arial Unicode MS"/>
          <w:sz w:val="32"/>
          <w:szCs w:val="32"/>
          <w:lang w:eastAsia="zh-CN"/>
        </w:rPr>
        <w:t>年的民营高科技企业，注册资本2000万，员工逾两百人。公司自成立以来一直致力于医学教学软硬件产品的研制、生产、销售和服务，为客户提供多种医学教学实验室（实体及虚拟）解决方案，并在国内市场享有非常高的市场份额。公司是中国</w:t>
      </w:r>
      <w:r>
        <w:rPr>
          <w:rFonts w:hint="eastAsia" w:ascii="仿宋_GB2312" w:hAnsi="华文仿宋" w:eastAsia="仿宋_GB2312" w:cs="Arial Unicode MS"/>
          <w:sz w:val="32"/>
          <w:szCs w:val="32"/>
        </w:rPr>
        <w:t>生理学会、中国病理生理学会团体会员，与国内多所著名医学院校</w:t>
      </w:r>
      <w:r>
        <w:rPr>
          <w:rFonts w:hint="eastAsia" w:ascii="仿宋_GB2312" w:hAnsi="华文仿宋" w:eastAsia="仿宋_GB2312" w:cs="Arial Unicode MS"/>
          <w:sz w:val="32"/>
          <w:szCs w:val="32"/>
          <w:lang w:eastAsia="zh-CN"/>
        </w:rPr>
        <w:t>有着长期</w:t>
      </w:r>
      <w:r>
        <w:rPr>
          <w:rFonts w:hint="eastAsia" w:ascii="仿宋_GB2312" w:hAnsi="华文仿宋" w:eastAsia="仿宋_GB2312" w:cs="Arial Unicode MS"/>
          <w:sz w:val="32"/>
          <w:szCs w:val="32"/>
        </w:rPr>
        <w:t>良好的合作关系。泰盟公司具备较强的独立硬件电路设计，软件开发，机械结构设计生产能力，公司拥有自</w:t>
      </w:r>
      <w:r>
        <w:rPr>
          <w:rFonts w:hint="eastAsia" w:ascii="仿宋_GB2312" w:hAnsi="华文仿宋" w:eastAsia="仿宋_GB2312" w:cs="Arial Unicode MS"/>
          <w:sz w:val="32"/>
          <w:szCs w:val="32"/>
          <w:lang w:eastAsia="zh-CN"/>
        </w:rPr>
        <w:t>主</w:t>
      </w:r>
      <w:r>
        <w:rPr>
          <w:rFonts w:hint="eastAsia" w:ascii="仿宋_GB2312" w:hAnsi="华文仿宋" w:eastAsia="仿宋_GB2312" w:cs="Arial Unicode MS"/>
          <w:sz w:val="32"/>
          <w:szCs w:val="32"/>
        </w:rPr>
        <w:t>生产产品的全部知识产权及掌握全部核心技术，已拥有</w:t>
      </w:r>
      <w:r>
        <w:rPr>
          <w:rFonts w:hint="eastAsia" w:ascii="仿宋_GB2312" w:hAnsi="华文仿宋" w:eastAsia="仿宋_GB2312" w:cs="Arial Unicode MS"/>
          <w:sz w:val="32"/>
          <w:szCs w:val="32"/>
          <w:lang w:eastAsia="zh-CN"/>
        </w:rPr>
        <w:t>各类</w:t>
      </w:r>
      <w:r>
        <w:rPr>
          <w:rFonts w:hint="eastAsia" w:ascii="仿宋_GB2312" w:hAnsi="华文仿宋" w:eastAsia="仿宋_GB2312" w:cs="Arial Unicode MS"/>
          <w:sz w:val="32"/>
          <w:szCs w:val="32"/>
        </w:rPr>
        <w:t>专利</w:t>
      </w:r>
      <w:r>
        <w:rPr>
          <w:rFonts w:hint="eastAsia" w:ascii="仿宋_GB2312" w:hAnsi="华文仿宋" w:eastAsia="仿宋_GB2312" w:cs="Arial Unicode MS"/>
          <w:sz w:val="32"/>
          <w:szCs w:val="32"/>
          <w:lang w:eastAsia="zh-CN"/>
        </w:rPr>
        <w:t>、软件</w:t>
      </w:r>
      <w:r>
        <w:rPr>
          <w:rFonts w:hint="eastAsia" w:ascii="仿宋_GB2312" w:hAnsi="华文仿宋" w:eastAsia="仿宋_GB2312" w:cs="Arial Unicode MS"/>
          <w:sz w:val="32"/>
          <w:szCs w:val="32"/>
          <w:lang w:val="en-US" w:eastAsia="zh-CN"/>
        </w:rPr>
        <w:t>著作权等百余项</w:t>
      </w:r>
      <w:r>
        <w:rPr>
          <w:rFonts w:hint="eastAsia" w:ascii="仿宋_GB2312" w:hAnsi="华文仿宋" w:eastAsia="仿宋_GB2312" w:cs="Arial Unicode MS"/>
          <w:sz w:val="32"/>
          <w:szCs w:val="32"/>
        </w:rPr>
        <w:t>。</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华文仿宋"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华文仿宋" w:eastAsia="仿宋_GB2312" w:cs="Arial"/>
          <w:sz w:val="32"/>
          <w:szCs w:val="32"/>
        </w:rPr>
      </w:pPr>
      <w:r>
        <w:rPr>
          <w:rFonts w:hint="eastAsia" w:ascii="仿宋_GB2312" w:hAnsi="华文仿宋" w:eastAsia="仿宋_GB2312" w:cs="Arial Unicode MS"/>
          <w:sz w:val="32"/>
          <w:szCs w:val="32"/>
        </w:rPr>
        <w:t>公司与大学合作，实施XXX项目，从协议签署之日起执行。</w:t>
      </w:r>
    </w:p>
    <w:p>
      <w:pPr>
        <w:pStyle w:val="9"/>
        <w:snapToGrid w:val="0"/>
        <w:spacing w:line="520" w:lineRule="exact"/>
        <w:jc w:val="center"/>
        <w:rPr>
          <w:rFonts w:ascii="仿宋_GB2312" w:hAnsi="华文仿宋" w:eastAsia="仿宋_GB2312" w:cs="Arial Unicode MS"/>
          <w:b/>
          <w:bCs/>
          <w:sz w:val="32"/>
          <w:szCs w:val="32"/>
          <w:u w:val="single"/>
        </w:rPr>
      </w:pPr>
      <w:r>
        <w:rPr>
          <w:rFonts w:hint="eastAsia" w:ascii="仿宋_GB2312" w:hAnsi="华文仿宋" w:eastAsia="仿宋_GB2312" w:cs="Arial Unicode MS"/>
          <w:b/>
          <w:bCs/>
          <w:sz w:val="32"/>
          <w:szCs w:val="32"/>
          <w:u w:val="single"/>
        </w:rPr>
        <w:t>协议</w:t>
      </w:r>
    </w:p>
    <w:p>
      <w:pPr>
        <w:pStyle w:val="9"/>
        <w:snapToGrid w:val="0"/>
        <w:spacing w:line="520" w:lineRule="exact"/>
        <w:jc w:val="center"/>
        <w:rPr>
          <w:rFonts w:ascii="仿宋_GB2312" w:hAnsi="华文仿宋" w:eastAsia="仿宋_GB2312" w:cs="Arial Unicode MS"/>
          <w:b/>
          <w:bCs/>
          <w:sz w:val="32"/>
          <w:szCs w:val="32"/>
          <w:u w:val="single"/>
        </w:rPr>
      </w:pP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一、公司的承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二、大学的承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w:sz w:val="32"/>
          <w:szCs w:val="32"/>
        </w:rPr>
        <w:t>三、保密</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华文仿宋" w:eastAsia="仿宋_GB2312" w:cs="Arial Unicode MS"/>
          <w:sz w:val="32"/>
          <w:szCs w:val="32"/>
        </w:rPr>
      </w:pPr>
      <w:r>
        <w:rPr>
          <w:rFonts w:hint="eastAsia" w:ascii="仿宋_GB2312" w:hAnsi="华文仿宋" w:eastAsia="仿宋_GB2312" w:cs="Arial Unicode MS"/>
          <w:sz w:val="32"/>
          <w:szCs w:val="32"/>
        </w:rPr>
        <w:t>四、公开</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华文仿宋" w:eastAsia="仿宋_GB2312" w:cs="Arial Unicode MS"/>
          <w:b/>
          <w:bCs/>
          <w:sz w:val="32"/>
          <w:szCs w:val="32"/>
        </w:rPr>
        <w:t>。</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五、生效、期限和终止，其他规定</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1.期限：本协议的生效日期为公司签名的日期，本协议的有效期为 XX 年（“期限”）。</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2.终止</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华文仿宋" w:eastAsia="仿宋_GB2312"/>
          <w:sz w:val="32"/>
          <w:szCs w:val="32"/>
        </w:rPr>
      </w:pPr>
    </w:p>
    <w:p>
      <w:pPr>
        <w:pStyle w:val="9"/>
        <w:snapToGrid w:val="0"/>
        <w:spacing w:line="520" w:lineRule="exact"/>
        <w:jc w:val="both"/>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snapToGrid w:val="0"/>
        <w:spacing w:line="520" w:lineRule="exact"/>
        <w:rPr>
          <w:rFonts w:ascii="仿宋_GB2312" w:hAnsi="华文仿宋" w:eastAsia="仿宋_GB2312" w:cs="Arial Unicode MS"/>
          <w:sz w:val="32"/>
          <w:szCs w:val="32"/>
        </w:rPr>
      </w:pPr>
      <w:r>
        <w:rPr>
          <w:rFonts w:hint="eastAsia" w:ascii="仿宋_GB2312" w:hAnsi="华文仿宋" w:eastAsia="仿宋_GB2312" w:cs="Arial Unicode MS"/>
          <w:sz w:val="32"/>
          <w:szCs w:val="32"/>
        </w:rPr>
        <w:t xml:space="preserve"> </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双方已于生效日期由合法授权代表签署本协议。</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Times New Roman"/>
                <w:b/>
                <w:bCs/>
                <w:i/>
                <w:iCs/>
                <w:kern w:val="2"/>
                <w:sz w:val="32"/>
                <w:szCs w:val="32"/>
              </w:rPr>
            </w:pPr>
            <w:r>
              <w:rPr>
                <w:rFonts w:hint="eastAsia" w:ascii="华文仿宋" w:hAnsi="华文仿宋" w:eastAsia="华文仿宋" w:cs="Arial Unicode MS"/>
                <w:b/>
                <w:bCs/>
                <w:kern w:val="2"/>
                <w:sz w:val="32"/>
                <w:szCs w:val="32"/>
                <w:lang w:eastAsia="zh-CN"/>
              </w:rPr>
              <w:t>成都泰盟软件有限</w:t>
            </w:r>
            <w:r>
              <w:rPr>
                <w:rFonts w:hint="eastAsia" w:ascii="华文仿宋" w:hAnsi="华文仿宋" w:eastAsia="华文仿宋" w:cs="Arial Unicode MS"/>
                <w:b/>
                <w:bCs/>
                <w:kern w:val="2"/>
                <w:sz w:val="32"/>
                <w:szCs w:val="32"/>
              </w:rPr>
              <w:t>公司</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 ___________________</w:t>
            </w:r>
          </w:p>
          <w:p>
            <w:pPr>
              <w:pStyle w:val="5"/>
              <w:spacing w:before="0" w:beforeAutospacing="0" w:after="0" w:afterAutospacing="0" w:line="500" w:lineRule="exact"/>
              <w:rPr>
                <w:rFonts w:ascii="华文仿宋" w:hAnsi="华文仿宋" w:eastAsia="华文仿宋" w:cs="Times New Roman"/>
                <w:kern w:val="2"/>
                <w:sz w:val="32"/>
                <w:szCs w:val="32"/>
              </w:rPr>
            </w:pPr>
          </w:p>
          <w:p>
            <w:pPr>
              <w:pStyle w:val="5"/>
              <w:spacing w:before="0" w:beforeAutospacing="0" w:after="0" w:afterAutospacing="0" w:line="500" w:lineRule="exact"/>
              <w:rPr>
                <w:rFonts w:ascii="华文仿宋" w:hAnsi="华文仿宋" w:eastAsia="华文仿宋" w:cs="Times New Roman"/>
                <w:b/>
                <w:bCs/>
                <w:kern w:val="2"/>
                <w:sz w:val="32"/>
                <w:szCs w:val="32"/>
              </w:rPr>
            </w:pPr>
            <w:r>
              <w:rPr>
                <w:rFonts w:hint="eastAsia" w:ascii="华文仿宋" w:hAnsi="华文仿宋" w:eastAsia="华文仿宋"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Arial Unicode MS"/>
                <w:b/>
                <w:bCs/>
                <w:kern w:val="2"/>
                <w:sz w:val="32"/>
                <w:szCs w:val="32"/>
              </w:rPr>
            </w:pPr>
            <w:r>
              <w:rPr>
                <w:rFonts w:hint="eastAsia" w:ascii="华文仿宋" w:hAnsi="华文仿宋" w:eastAsia="华文仿宋" w:cs="Arial Unicode MS"/>
                <w:b/>
                <w:bCs/>
                <w:kern w:val="2"/>
                <w:sz w:val="32"/>
                <w:szCs w:val="32"/>
              </w:rPr>
              <w:t>XXX大学</w:t>
            </w:r>
          </w:p>
          <w:p>
            <w:pPr>
              <w:spacing w:line="500" w:lineRule="exact"/>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称:__________________</w:t>
            </w:r>
          </w:p>
          <w:p>
            <w:pPr>
              <w:pStyle w:val="9"/>
              <w:snapToGrid w:val="0"/>
              <w:spacing w:line="500" w:lineRule="exact"/>
              <w:rPr>
                <w:rFonts w:ascii="华文仿宋" w:hAnsi="华文仿宋" w:eastAsia="华文仿宋" w:cs="Arial"/>
                <w:sz w:val="32"/>
                <w:szCs w:val="32"/>
              </w:rPr>
            </w:pPr>
          </w:p>
          <w:p>
            <w:pPr>
              <w:pStyle w:val="9"/>
              <w:snapToGrid w:val="0"/>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华文仿宋" w:hAnsi="华文仿宋" w:eastAsia="华文仿宋" w:cs="Arial"/>
              </w:rPr>
            </w:pPr>
          </w:p>
        </w:tc>
        <w:tc>
          <w:tcPr>
            <w:tcW w:w="3800" w:type="dxa"/>
            <w:tcMar>
              <w:top w:w="0" w:type="dxa"/>
              <w:left w:w="0" w:type="dxa"/>
              <w:bottom w:w="0" w:type="dxa"/>
              <w:right w:w="0" w:type="dxa"/>
            </w:tcMar>
          </w:tcPr>
          <w:p>
            <w:pPr>
              <w:pStyle w:val="9"/>
              <w:spacing w:after="280"/>
              <w:rPr>
                <w:rFonts w:ascii="华文仿宋" w:hAnsi="华文仿宋" w:eastAsia="华文仿宋"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21AD0F1D"/>
    <w:rsid w:val="38FF16F2"/>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uiPriority w:val="99"/>
    <w:rPr>
      <w:rFonts w:ascii="Times New Roman" w:hAnsi="Times New Roman" w:eastAsia="黑体" w:cs="Times New Roman"/>
      <w:b/>
      <w:bCs/>
      <w:kern w:val="44"/>
      <w:sz w:val="36"/>
      <w:szCs w:val="36"/>
    </w:rPr>
  </w:style>
  <w:style w:type="paragraph" w:customStyle="1" w:styleId="9">
    <w:name w:val="正文1"/>
    <w:basedOn w:val="1"/>
    <w:uiPriority w:val="0"/>
    <w:pPr>
      <w:contextualSpacing/>
      <w:jc w:val="left"/>
    </w:pPr>
    <w:rPr>
      <w:rFonts w:ascii="Calibri" w:hAnsi="Calibri" w:cs="Calibri"/>
      <w:color w:val="000000"/>
      <w:kern w:val="0"/>
      <w:sz w:val="24"/>
      <w:szCs w:val="24"/>
    </w:rPr>
  </w:style>
  <w:style w:type="paragraph" w:customStyle="1" w:styleId="10">
    <w:name w:val="reader-word-layer"/>
    <w:basedOn w:val="1"/>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1</TotalTime>
  <ScaleCrop>false</ScaleCrop>
  <LinksUpToDate>false</LinksUpToDate>
  <CharactersWithSpaces>1341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Ellie</cp:lastModifiedBy>
  <dcterms:modified xsi:type="dcterms:W3CDTF">2020-03-12T09:52:21Z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